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1"/>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814"/>
      </w:tblGrid>
      <w:tr w:rsidR="00067C20" w:rsidRPr="009E28CE" w:rsidTr="009E28C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468" w:type="dxa"/>
            <w:gridSpan w:val="2"/>
            <w:hideMark/>
          </w:tcPr>
          <w:p w:rsidR="00067C20" w:rsidRPr="009E28CE" w:rsidRDefault="00067C20" w:rsidP="009E28CE">
            <w:pPr>
              <w:jc w:val="center"/>
              <w:rPr>
                <w:b w:val="0"/>
                <w:sz w:val="23"/>
                <w:szCs w:val="23"/>
                <w:lang w:val="en-US"/>
              </w:rPr>
            </w:pPr>
            <w:r w:rsidRPr="009E28CE">
              <w:rPr>
                <w:sz w:val="23"/>
                <w:szCs w:val="23"/>
                <w:lang w:val="en-US"/>
              </w:rPr>
              <w:t>Proposal for the establishment of an investigation mechanism on allegations of torture under the General Prosecutor’s Office of the Kyrgyz Republic</w:t>
            </w:r>
          </w:p>
        </w:tc>
      </w:tr>
      <w:tr w:rsidR="00067C20" w:rsidRPr="009E28CE" w:rsidTr="009E28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dxa"/>
            <w:tcBorders>
              <w:top w:val="none" w:sz="0" w:space="0" w:color="auto"/>
              <w:left w:val="none" w:sz="0" w:space="0" w:color="auto"/>
              <w:bottom w:val="none" w:sz="0" w:space="0" w:color="auto"/>
            </w:tcBorders>
            <w:vAlign w:val="center"/>
            <w:hideMark/>
          </w:tcPr>
          <w:p w:rsidR="00067C20" w:rsidRPr="009E28CE" w:rsidRDefault="00067C20" w:rsidP="009E28CE">
            <w:pPr>
              <w:rPr>
                <w:sz w:val="23"/>
                <w:szCs w:val="23"/>
              </w:rPr>
            </w:pPr>
            <w:r w:rsidRPr="009E28CE">
              <w:rPr>
                <w:sz w:val="23"/>
                <w:szCs w:val="23"/>
                <w:lang w:val="en-US"/>
              </w:rPr>
              <w:t>Legal basis</w:t>
            </w:r>
          </w:p>
        </w:tc>
        <w:tc>
          <w:tcPr>
            <w:tcW w:w="7814" w:type="dxa"/>
            <w:tcBorders>
              <w:top w:val="none" w:sz="0" w:space="0" w:color="auto"/>
              <w:bottom w:val="none" w:sz="0" w:space="0" w:color="auto"/>
              <w:right w:val="none" w:sz="0" w:space="0" w:color="auto"/>
            </w:tcBorders>
            <w:vAlign w:val="center"/>
            <w:hideMark/>
          </w:tcPr>
          <w:p w:rsidR="00067C20" w:rsidRPr="009E28CE" w:rsidRDefault="00067C20"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p>
          <w:p w:rsidR="00067C20" w:rsidRPr="009E28CE" w:rsidRDefault="00067C20"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9E28CE">
              <w:rPr>
                <w:sz w:val="23"/>
                <w:szCs w:val="23"/>
                <w:lang w:val="en-US"/>
              </w:rPr>
              <w:t xml:space="preserve">Created by law and included into the Criminal Procedure Code; Procedures and functions regulated through bylaws/regulations. </w:t>
            </w:r>
          </w:p>
          <w:p w:rsidR="00067C20" w:rsidRPr="009E28CE" w:rsidRDefault="00067C20" w:rsidP="009E28CE">
            <w:pPr>
              <w:tabs>
                <w:tab w:val="left" w:pos="4575"/>
              </w:tabs>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9E28CE">
              <w:rPr>
                <w:sz w:val="23"/>
                <w:szCs w:val="23"/>
                <w:lang w:val="en-US"/>
              </w:rPr>
              <w:tab/>
            </w:r>
          </w:p>
        </w:tc>
      </w:tr>
      <w:tr w:rsidR="00067C20" w:rsidRPr="009E28CE" w:rsidTr="009E28CE">
        <w:trPr>
          <w:trHeight w:val="20"/>
        </w:trPr>
        <w:tc>
          <w:tcPr>
            <w:cnfStyle w:val="001000000000" w:firstRow="0" w:lastRow="0" w:firstColumn="1" w:lastColumn="0" w:oddVBand="0" w:evenVBand="0" w:oddHBand="0" w:evenHBand="0" w:firstRowFirstColumn="0" w:firstRowLastColumn="0" w:lastRowFirstColumn="0" w:lastRowLastColumn="0"/>
            <w:tcW w:w="1654" w:type="dxa"/>
            <w:vAlign w:val="center"/>
            <w:hideMark/>
          </w:tcPr>
          <w:p w:rsidR="00067C20" w:rsidRPr="009E28CE" w:rsidRDefault="00067C20" w:rsidP="009E28CE">
            <w:pPr>
              <w:rPr>
                <w:sz w:val="23"/>
                <w:szCs w:val="23"/>
                <w:lang w:val="en-US"/>
              </w:rPr>
            </w:pPr>
            <w:r w:rsidRPr="009E28CE">
              <w:rPr>
                <w:sz w:val="23"/>
                <w:szCs w:val="23"/>
                <w:lang w:val="en-US"/>
              </w:rPr>
              <w:t>Mandate</w:t>
            </w:r>
            <w:r w:rsidRPr="009E28CE">
              <w:rPr>
                <w:sz w:val="23"/>
                <w:szCs w:val="23"/>
              </w:rPr>
              <w:t xml:space="preserve"> </w:t>
            </w:r>
          </w:p>
        </w:tc>
        <w:tc>
          <w:tcPr>
            <w:tcW w:w="7814" w:type="dxa"/>
            <w:vAlign w:val="center"/>
            <w:hideMark/>
          </w:tcPr>
          <w:p w:rsidR="00067C20" w:rsidRPr="009E28CE" w:rsidRDefault="00067C20"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p>
          <w:p w:rsidR="00067C20" w:rsidRPr="009E28CE" w:rsidRDefault="00067C20"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r w:rsidRPr="009E28CE">
              <w:rPr>
                <w:sz w:val="23"/>
                <w:szCs w:val="23"/>
                <w:lang w:val="en-US"/>
              </w:rPr>
              <w:t>All allegations of torture and other forms of ill treatment in accordance with CAT, Kyrgyz Constitution, and Kyrgyz laws.</w:t>
            </w:r>
          </w:p>
          <w:p w:rsidR="00067C20" w:rsidRPr="009E28CE" w:rsidRDefault="00067C20"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p>
        </w:tc>
      </w:tr>
      <w:tr w:rsidR="00067C20" w:rsidRPr="009E28CE" w:rsidTr="009E28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dxa"/>
            <w:tcBorders>
              <w:top w:val="none" w:sz="0" w:space="0" w:color="auto"/>
              <w:left w:val="none" w:sz="0" w:space="0" w:color="auto"/>
              <w:bottom w:val="none" w:sz="0" w:space="0" w:color="auto"/>
            </w:tcBorders>
            <w:vAlign w:val="center"/>
            <w:hideMark/>
          </w:tcPr>
          <w:p w:rsidR="00067C20" w:rsidRPr="009E28CE" w:rsidRDefault="00067C20" w:rsidP="009E28CE">
            <w:pPr>
              <w:rPr>
                <w:sz w:val="23"/>
                <w:szCs w:val="23"/>
              </w:rPr>
            </w:pPr>
            <w:r w:rsidRPr="009E28CE">
              <w:rPr>
                <w:sz w:val="23"/>
                <w:szCs w:val="23"/>
                <w:lang w:val="en-US"/>
              </w:rPr>
              <w:t>Powers</w:t>
            </w:r>
          </w:p>
        </w:tc>
        <w:tc>
          <w:tcPr>
            <w:tcW w:w="7814" w:type="dxa"/>
            <w:tcBorders>
              <w:top w:val="none" w:sz="0" w:space="0" w:color="auto"/>
              <w:bottom w:val="none" w:sz="0" w:space="0" w:color="auto"/>
              <w:right w:val="none" w:sz="0" w:space="0" w:color="auto"/>
            </w:tcBorders>
            <w:vAlign w:val="center"/>
            <w:hideMark/>
          </w:tcPr>
          <w:p w:rsidR="00B6576E" w:rsidRPr="009E28CE" w:rsidRDefault="00B6576E"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p>
          <w:p w:rsidR="00B6576E" w:rsidRPr="009E28CE" w:rsidRDefault="00067C20"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9E28CE">
              <w:rPr>
                <w:sz w:val="23"/>
                <w:szCs w:val="23"/>
                <w:lang w:val="en-US"/>
              </w:rPr>
              <w:t>Acceptance and consideration of communications, referrals</w:t>
            </w:r>
            <w:r w:rsidR="00B6576E" w:rsidRPr="009E28CE">
              <w:rPr>
                <w:sz w:val="23"/>
                <w:szCs w:val="23"/>
                <w:lang w:val="en-US"/>
              </w:rPr>
              <w:t>;</w:t>
            </w:r>
            <w:r w:rsidRPr="009E28CE">
              <w:rPr>
                <w:sz w:val="23"/>
                <w:szCs w:val="23"/>
                <w:lang w:val="en-US"/>
              </w:rPr>
              <w:t xml:space="preserve"> Reacting (including decision making and control for the protection of witnesses and victims)</w:t>
            </w:r>
            <w:r w:rsidR="00B6576E" w:rsidRPr="009E28CE">
              <w:rPr>
                <w:sz w:val="23"/>
                <w:szCs w:val="23"/>
                <w:lang w:val="en-US"/>
              </w:rPr>
              <w:t>;</w:t>
            </w:r>
            <w:r w:rsidRPr="009E28CE">
              <w:rPr>
                <w:sz w:val="23"/>
                <w:szCs w:val="23"/>
                <w:lang w:val="en-US"/>
              </w:rPr>
              <w:t xml:space="preserve"> Inspection</w:t>
            </w:r>
            <w:r w:rsidR="00B6576E" w:rsidRPr="009E28CE">
              <w:rPr>
                <w:sz w:val="23"/>
                <w:szCs w:val="23"/>
                <w:lang w:val="en-US"/>
              </w:rPr>
              <w:t>;</w:t>
            </w:r>
            <w:r w:rsidRPr="009E28CE">
              <w:rPr>
                <w:sz w:val="23"/>
                <w:szCs w:val="23"/>
                <w:lang w:val="en-US"/>
              </w:rPr>
              <w:t xml:space="preserve"> Initiation of criminal proceedings (or transfer to an internal investigation and </w:t>
            </w:r>
            <w:r w:rsidR="00B6576E" w:rsidRPr="009E28CE">
              <w:rPr>
                <w:sz w:val="23"/>
                <w:szCs w:val="23"/>
                <w:lang w:val="en-US"/>
              </w:rPr>
              <w:t>oversight</w:t>
            </w:r>
            <w:r w:rsidRPr="009E28CE">
              <w:rPr>
                <w:sz w:val="23"/>
                <w:szCs w:val="23"/>
                <w:lang w:val="en-US"/>
              </w:rPr>
              <w:t>)</w:t>
            </w:r>
            <w:r w:rsidR="00B6576E" w:rsidRPr="009E28CE">
              <w:rPr>
                <w:sz w:val="23"/>
                <w:szCs w:val="23"/>
                <w:lang w:val="en-US"/>
              </w:rPr>
              <w:t>;</w:t>
            </w:r>
            <w:r w:rsidRPr="009E28CE">
              <w:rPr>
                <w:sz w:val="23"/>
                <w:szCs w:val="23"/>
                <w:lang w:val="en-US"/>
              </w:rPr>
              <w:t xml:space="preserve"> Investigation (according to the criminal procedure code)</w:t>
            </w:r>
            <w:r w:rsidR="00B6576E" w:rsidRPr="009E28CE">
              <w:rPr>
                <w:sz w:val="23"/>
                <w:szCs w:val="23"/>
                <w:lang w:val="en-US"/>
              </w:rPr>
              <w:t>;</w:t>
            </w:r>
            <w:r w:rsidRPr="009E28CE">
              <w:rPr>
                <w:sz w:val="23"/>
                <w:szCs w:val="23"/>
                <w:lang w:val="en-US"/>
              </w:rPr>
              <w:t xml:space="preserve"> Transfer of the case to the prosecutor</w:t>
            </w:r>
            <w:r w:rsidR="00B6576E" w:rsidRPr="009E28CE">
              <w:rPr>
                <w:sz w:val="23"/>
                <w:szCs w:val="23"/>
                <w:lang w:val="en-US"/>
              </w:rPr>
              <w:t>.</w:t>
            </w:r>
          </w:p>
          <w:p w:rsidR="00067C20" w:rsidRPr="009E28CE" w:rsidRDefault="00067C20"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9E28CE">
              <w:rPr>
                <w:sz w:val="23"/>
                <w:szCs w:val="23"/>
                <w:lang w:val="en-US"/>
              </w:rPr>
              <w:t xml:space="preserve"> </w:t>
            </w:r>
          </w:p>
        </w:tc>
      </w:tr>
      <w:tr w:rsidR="00067C20" w:rsidRPr="009E28CE" w:rsidTr="009E28CE">
        <w:trPr>
          <w:trHeight w:val="20"/>
        </w:trPr>
        <w:tc>
          <w:tcPr>
            <w:cnfStyle w:val="001000000000" w:firstRow="0" w:lastRow="0" w:firstColumn="1" w:lastColumn="0" w:oddVBand="0" w:evenVBand="0" w:oddHBand="0" w:evenHBand="0" w:firstRowFirstColumn="0" w:firstRowLastColumn="0" w:lastRowFirstColumn="0" w:lastRowLastColumn="0"/>
            <w:tcW w:w="1654" w:type="dxa"/>
            <w:vAlign w:val="center"/>
            <w:hideMark/>
          </w:tcPr>
          <w:p w:rsidR="00067C20" w:rsidRPr="009E28CE" w:rsidRDefault="00067C20" w:rsidP="009E28CE">
            <w:pPr>
              <w:rPr>
                <w:sz w:val="23"/>
                <w:szCs w:val="23"/>
              </w:rPr>
            </w:pPr>
            <w:r w:rsidRPr="009E28CE">
              <w:rPr>
                <w:sz w:val="23"/>
                <w:szCs w:val="23"/>
                <w:lang w:val="en-US"/>
              </w:rPr>
              <w:t>Structure</w:t>
            </w:r>
            <w:r w:rsidRPr="009E28CE">
              <w:rPr>
                <w:sz w:val="23"/>
                <w:szCs w:val="23"/>
              </w:rPr>
              <w:t xml:space="preserve"> </w:t>
            </w:r>
          </w:p>
        </w:tc>
        <w:tc>
          <w:tcPr>
            <w:tcW w:w="7814" w:type="dxa"/>
            <w:vAlign w:val="center"/>
            <w:hideMark/>
          </w:tcPr>
          <w:p w:rsidR="00B6576E" w:rsidRPr="009E28CE" w:rsidRDefault="00B6576E"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p>
          <w:p w:rsidR="00067C20" w:rsidRPr="009E28CE" w:rsidRDefault="00067C20"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r w:rsidRPr="009E28CE">
              <w:rPr>
                <w:sz w:val="23"/>
                <w:szCs w:val="23"/>
                <w:lang w:val="en-US"/>
              </w:rPr>
              <w:t>Main unit in the General Prosecutor’s office HQ and Regional units.</w:t>
            </w:r>
          </w:p>
          <w:p w:rsidR="00DA0E3C" w:rsidRPr="009E28CE" w:rsidRDefault="00DA0E3C"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p>
          <w:p w:rsidR="00067C20" w:rsidRPr="009E28CE" w:rsidRDefault="00067C20"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r w:rsidRPr="009E28CE">
              <w:rPr>
                <w:sz w:val="23"/>
                <w:szCs w:val="23"/>
                <w:lang w:val="en-US"/>
              </w:rPr>
              <w:t>Staff depending on necessity, geographic accessibility. Possibility to transfer operational functions to the alternative body (National Security Committee or Ministry of Interior Affairs, or The State Service on Drug Control, or Department of Civil Service on Combating Crime) - (to create independent operational functions, if necessary)</w:t>
            </w:r>
            <w:r w:rsidR="00B6576E" w:rsidRPr="009E28CE">
              <w:rPr>
                <w:sz w:val="23"/>
                <w:szCs w:val="23"/>
                <w:lang w:val="en-US"/>
              </w:rPr>
              <w:t xml:space="preserve">. Inclusion of </w:t>
            </w:r>
            <w:r w:rsidRPr="009E28CE">
              <w:rPr>
                <w:sz w:val="23"/>
                <w:szCs w:val="23"/>
                <w:lang w:val="en-US"/>
              </w:rPr>
              <w:t>experts</w:t>
            </w:r>
            <w:r w:rsidR="00B6576E" w:rsidRPr="009E28CE">
              <w:rPr>
                <w:sz w:val="23"/>
                <w:szCs w:val="23"/>
                <w:lang w:val="en-US"/>
              </w:rPr>
              <w:t xml:space="preserve">. </w:t>
            </w:r>
          </w:p>
          <w:p w:rsidR="00B6576E" w:rsidRPr="009E28CE" w:rsidRDefault="00B6576E"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p>
        </w:tc>
      </w:tr>
      <w:tr w:rsidR="00067C20" w:rsidRPr="009E28CE" w:rsidTr="009E28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dxa"/>
            <w:tcBorders>
              <w:top w:val="none" w:sz="0" w:space="0" w:color="auto"/>
              <w:left w:val="none" w:sz="0" w:space="0" w:color="auto"/>
              <w:bottom w:val="none" w:sz="0" w:space="0" w:color="auto"/>
            </w:tcBorders>
            <w:vAlign w:val="center"/>
            <w:hideMark/>
          </w:tcPr>
          <w:p w:rsidR="00067C20" w:rsidRPr="009E28CE" w:rsidRDefault="00067C20" w:rsidP="009E28CE">
            <w:pPr>
              <w:rPr>
                <w:sz w:val="23"/>
                <w:szCs w:val="23"/>
                <w:lang w:val="en-US"/>
              </w:rPr>
            </w:pPr>
            <w:r w:rsidRPr="009E28CE">
              <w:rPr>
                <w:sz w:val="23"/>
                <w:szCs w:val="23"/>
                <w:lang w:val="en-US"/>
              </w:rPr>
              <w:t>Complain</w:t>
            </w:r>
            <w:r w:rsidR="00B6576E" w:rsidRPr="009E28CE">
              <w:rPr>
                <w:sz w:val="23"/>
                <w:szCs w:val="23"/>
                <w:lang w:val="en-US"/>
              </w:rPr>
              <w:t>t</w:t>
            </w:r>
            <w:r w:rsidRPr="009E28CE">
              <w:rPr>
                <w:sz w:val="23"/>
                <w:szCs w:val="23"/>
                <w:lang w:val="en-US"/>
              </w:rPr>
              <w:t>s</w:t>
            </w:r>
          </w:p>
        </w:tc>
        <w:tc>
          <w:tcPr>
            <w:tcW w:w="7814" w:type="dxa"/>
            <w:tcBorders>
              <w:top w:val="none" w:sz="0" w:space="0" w:color="auto"/>
              <w:bottom w:val="none" w:sz="0" w:space="0" w:color="auto"/>
              <w:right w:val="none" w:sz="0" w:space="0" w:color="auto"/>
            </w:tcBorders>
            <w:vAlign w:val="center"/>
            <w:hideMark/>
          </w:tcPr>
          <w:p w:rsidR="00B6576E" w:rsidRPr="009E28CE" w:rsidRDefault="00B6576E"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p>
          <w:p w:rsidR="00B6576E" w:rsidRPr="009E28CE" w:rsidRDefault="00B6576E"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9E28CE">
              <w:rPr>
                <w:sz w:val="23"/>
                <w:szCs w:val="23"/>
                <w:lang w:val="en-US"/>
              </w:rPr>
              <w:t>Can be received in any form, oral</w:t>
            </w:r>
            <w:r w:rsidR="009E28CE">
              <w:rPr>
                <w:sz w:val="23"/>
                <w:szCs w:val="23"/>
                <w:lang w:val="en-US"/>
              </w:rPr>
              <w:t>ly</w:t>
            </w:r>
            <w:bookmarkStart w:id="0" w:name="_GoBack"/>
            <w:bookmarkEnd w:id="0"/>
            <w:r w:rsidRPr="009E28CE">
              <w:rPr>
                <w:sz w:val="23"/>
                <w:szCs w:val="23"/>
                <w:lang w:val="en-US"/>
              </w:rPr>
              <w:t xml:space="preserve"> and in writing, </w:t>
            </w:r>
            <w:r w:rsidR="00067C20" w:rsidRPr="009E28CE">
              <w:rPr>
                <w:sz w:val="23"/>
                <w:szCs w:val="23"/>
                <w:lang w:val="en-US"/>
              </w:rPr>
              <w:t>including anonymous</w:t>
            </w:r>
            <w:r w:rsidRPr="009E28CE">
              <w:rPr>
                <w:sz w:val="23"/>
                <w:szCs w:val="23"/>
                <w:lang w:val="en-US"/>
              </w:rPr>
              <w:t xml:space="preserve"> reports,</w:t>
            </w:r>
            <w:r w:rsidR="00067C20" w:rsidRPr="009E28CE">
              <w:rPr>
                <w:sz w:val="23"/>
                <w:szCs w:val="23"/>
                <w:lang w:val="en-US"/>
              </w:rPr>
              <w:t xml:space="preserve"> phone </w:t>
            </w:r>
            <w:r w:rsidRPr="009E28CE">
              <w:rPr>
                <w:sz w:val="23"/>
                <w:szCs w:val="23"/>
                <w:lang w:val="en-US"/>
              </w:rPr>
              <w:t xml:space="preserve">calls, </w:t>
            </w:r>
            <w:r w:rsidR="00067C20" w:rsidRPr="009E28CE">
              <w:rPr>
                <w:sz w:val="23"/>
                <w:szCs w:val="23"/>
                <w:lang w:val="en-US"/>
              </w:rPr>
              <w:t xml:space="preserve">including </w:t>
            </w:r>
            <w:r w:rsidRPr="009E28CE">
              <w:rPr>
                <w:sz w:val="23"/>
                <w:szCs w:val="23"/>
                <w:lang w:val="en-US"/>
              </w:rPr>
              <w:t>a</w:t>
            </w:r>
            <w:r w:rsidR="00067C20" w:rsidRPr="009E28CE">
              <w:rPr>
                <w:sz w:val="23"/>
                <w:szCs w:val="23"/>
                <w:lang w:val="en-US"/>
              </w:rPr>
              <w:t xml:space="preserve"> hot line, as well as from </w:t>
            </w:r>
            <w:r w:rsidRPr="009E28CE">
              <w:rPr>
                <w:sz w:val="23"/>
                <w:szCs w:val="23"/>
                <w:lang w:val="en-US"/>
              </w:rPr>
              <w:t>various sources</w:t>
            </w:r>
            <w:r w:rsidR="00067C20" w:rsidRPr="009E28CE">
              <w:rPr>
                <w:sz w:val="23"/>
                <w:szCs w:val="23"/>
                <w:lang w:val="en-US"/>
              </w:rPr>
              <w:t xml:space="preserve"> (indepe</w:t>
            </w:r>
            <w:r w:rsidRPr="009E28CE">
              <w:rPr>
                <w:sz w:val="23"/>
                <w:szCs w:val="23"/>
                <w:lang w:val="en-US"/>
              </w:rPr>
              <w:t>ndent preventive mechanism, NGO</w:t>
            </w:r>
            <w:r w:rsidR="00067C20" w:rsidRPr="009E28CE">
              <w:rPr>
                <w:sz w:val="23"/>
                <w:szCs w:val="23"/>
                <w:lang w:val="en-US"/>
              </w:rPr>
              <w:t xml:space="preserve">), information from health facilities, </w:t>
            </w:r>
            <w:r w:rsidRPr="009E28CE">
              <w:rPr>
                <w:sz w:val="23"/>
                <w:szCs w:val="23"/>
                <w:lang w:val="en-US"/>
              </w:rPr>
              <w:t>and news</w:t>
            </w:r>
            <w:r w:rsidR="00067C20" w:rsidRPr="009E28CE">
              <w:rPr>
                <w:sz w:val="23"/>
                <w:szCs w:val="23"/>
                <w:lang w:val="en-US"/>
              </w:rPr>
              <w:t xml:space="preserve"> in the media</w:t>
            </w:r>
            <w:r w:rsidRPr="009E28CE">
              <w:rPr>
                <w:sz w:val="23"/>
                <w:szCs w:val="23"/>
                <w:lang w:val="en-US"/>
              </w:rPr>
              <w:t>.</w:t>
            </w:r>
          </w:p>
          <w:p w:rsidR="00067C20" w:rsidRPr="009E28CE" w:rsidRDefault="00067C20"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9E28CE">
              <w:rPr>
                <w:sz w:val="23"/>
                <w:szCs w:val="23"/>
                <w:lang w:val="en-US"/>
              </w:rPr>
              <w:t xml:space="preserve"> </w:t>
            </w:r>
          </w:p>
        </w:tc>
      </w:tr>
      <w:tr w:rsidR="00067C20" w:rsidRPr="009E28CE" w:rsidTr="009E28CE">
        <w:trPr>
          <w:trHeight w:val="20"/>
        </w:trPr>
        <w:tc>
          <w:tcPr>
            <w:cnfStyle w:val="001000000000" w:firstRow="0" w:lastRow="0" w:firstColumn="1" w:lastColumn="0" w:oddVBand="0" w:evenVBand="0" w:oddHBand="0" w:evenHBand="0" w:firstRowFirstColumn="0" w:firstRowLastColumn="0" w:lastRowFirstColumn="0" w:lastRowLastColumn="0"/>
            <w:tcW w:w="1654" w:type="dxa"/>
            <w:vAlign w:val="center"/>
            <w:hideMark/>
          </w:tcPr>
          <w:p w:rsidR="00067C20" w:rsidRPr="009E28CE" w:rsidRDefault="00067C20" w:rsidP="009E28CE">
            <w:pPr>
              <w:rPr>
                <w:sz w:val="23"/>
                <w:szCs w:val="23"/>
              </w:rPr>
            </w:pPr>
            <w:r w:rsidRPr="009E28CE">
              <w:rPr>
                <w:sz w:val="23"/>
                <w:szCs w:val="23"/>
                <w:lang w:val="en-US"/>
              </w:rPr>
              <w:t>Funding</w:t>
            </w:r>
          </w:p>
        </w:tc>
        <w:tc>
          <w:tcPr>
            <w:tcW w:w="7814" w:type="dxa"/>
            <w:vAlign w:val="center"/>
            <w:hideMark/>
          </w:tcPr>
          <w:p w:rsidR="00B6576E" w:rsidRPr="009E28CE" w:rsidRDefault="00B6576E"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p>
          <w:p w:rsidR="00067C20" w:rsidRPr="009E28CE" w:rsidRDefault="00B6576E"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r w:rsidRPr="009E28CE">
              <w:rPr>
                <w:sz w:val="23"/>
                <w:szCs w:val="23"/>
                <w:lang w:val="en-US"/>
              </w:rPr>
              <w:t xml:space="preserve">From State’s budget under a specific voice. External sources are not excluded. </w:t>
            </w:r>
          </w:p>
          <w:p w:rsidR="00B6576E" w:rsidRPr="009E28CE" w:rsidRDefault="00B6576E" w:rsidP="009E28CE">
            <w:pPr>
              <w:jc w:val="both"/>
              <w:cnfStyle w:val="000000000000" w:firstRow="0" w:lastRow="0" w:firstColumn="0" w:lastColumn="0" w:oddVBand="0" w:evenVBand="0" w:oddHBand="0" w:evenHBand="0" w:firstRowFirstColumn="0" w:firstRowLastColumn="0" w:lastRowFirstColumn="0" w:lastRowLastColumn="0"/>
              <w:rPr>
                <w:sz w:val="23"/>
                <w:szCs w:val="23"/>
                <w:lang w:val="en-US"/>
              </w:rPr>
            </w:pPr>
          </w:p>
        </w:tc>
      </w:tr>
      <w:tr w:rsidR="00067C20" w:rsidRPr="009E28CE" w:rsidTr="009E28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dxa"/>
            <w:tcBorders>
              <w:top w:val="none" w:sz="0" w:space="0" w:color="auto"/>
              <w:left w:val="none" w:sz="0" w:space="0" w:color="auto"/>
              <w:bottom w:val="none" w:sz="0" w:space="0" w:color="auto"/>
            </w:tcBorders>
            <w:vAlign w:val="center"/>
            <w:hideMark/>
          </w:tcPr>
          <w:p w:rsidR="00067C20" w:rsidRPr="009E28CE" w:rsidRDefault="00067C20" w:rsidP="009E28CE">
            <w:pPr>
              <w:rPr>
                <w:sz w:val="23"/>
                <w:szCs w:val="23"/>
                <w:lang w:val="en-US"/>
              </w:rPr>
            </w:pPr>
            <w:r w:rsidRPr="009E28CE">
              <w:rPr>
                <w:sz w:val="23"/>
                <w:szCs w:val="23"/>
                <w:lang w:val="en-US"/>
              </w:rPr>
              <w:t>Accountability</w:t>
            </w:r>
          </w:p>
        </w:tc>
        <w:tc>
          <w:tcPr>
            <w:tcW w:w="7814" w:type="dxa"/>
            <w:tcBorders>
              <w:top w:val="none" w:sz="0" w:space="0" w:color="auto"/>
              <w:bottom w:val="none" w:sz="0" w:space="0" w:color="auto"/>
              <w:right w:val="none" w:sz="0" w:space="0" w:color="auto"/>
            </w:tcBorders>
            <w:vAlign w:val="center"/>
            <w:hideMark/>
          </w:tcPr>
          <w:p w:rsidR="00B6576E" w:rsidRPr="009E28CE" w:rsidRDefault="00B6576E" w:rsidP="009E28CE">
            <w:pPr>
              <w:jc w:val="both"/>
              <w:cnfStyle w:val="000000100000" w:firstRow="0" w:lastRow="0" w:firstColumn="0" w:lastColumn="0" w:oddVBand="0" w:evenVBand="0" w:oddHBand="1" w:evenHBand="0" w:firstRowFirstColumn="0" w:firstRowLastColumn="0" w:lastRowFirstColumn="0" w:lastRowLastColumn="0"/>
              <w:rPr>
                <w:sz w:val="23"/>
                <w:szCs w:val="23"/>
                <w:u w:val="single"/>
                <w:lang w:val="en-US"/>
              </w:rPr>
            </w:pPr>
          </w:p>
          <w:p w:rsidR="00B6576E" w:rsidRPr="009E28CE" w:rsidRDefault="00067C20"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9E28CE">
              <w:rPr>
                <w:sz w:val="23"/>
                <w:szCs w:val="23"/>
                <w:u w:val="single"/>
                <w:lang w:val="en-US"/>
              </w:rPr>
              <w:t>JK KR</w:t>
            </w:r>
            <w:r w:rsidRPr="009E28CE">
              <w:rPr>
                <w:sz w:val="23"/>
                <w:szCs w:val="23"/>
                <w:lang w:val="en-US"/>
              </w:rPr>
              <w:t xml:space="preserve"> (statistics, results of the investigation, analyses,</w:t>
            </w:r>
            <w:r w:rsidR="00DA0E3C" w:rsidRPr="009E28CE">
              <w:rPr>
                <w:sz w:val="23"/>
                <w:szCs w:val="23"/>
                <w:lang w:val="en-US"/>
              </w:rPr>
              <w:t xml:space="preserve"> issues, wishes) – once a year;</w:t>
            </w:r>
            <w:r w:rsidRPr="009E28CE">
              <w:rPr>
                <w:sz w:val="23"/>
                <w:szCs w:val="23"/>
                <w:lang w:val="en-US"/>
              </w:rPr>
              <w:t xml:space="preserve"> </w:t>
            </w:r>
            <w:r w:rsidRPr="009E28CE">
              <w:rPr>
                <w:sz w:val="23"/>
                <w:szCs w:val="23"/>
                <w:u w:val="single"/>
                <w:lang w:val="en-US"/>
              </w:rPr>
              <w:t xml:space="preserve">Committee </w:t>
            </w:r>
            <w:proofErr w:type="gramStart"/>
            <w:r w:rsidRPr="009E28CE">
              <w:rPr>
                <w:sz w:val="23"/>
                <w:szCs w:val="23"/>
                <w:u w:val="single"/>
                <w:lang w:val="en-US"/>
              </w:rPr>
              <w:t>on</w:t>
            </w:r>
            <w:r w:rsidRPr="009E28CE">
              <w:rPr>
                <w:sz w:val="23"/>
                <w:szCs w:val="23"/>
                <w:lang w:val="en-US"/>
              </w:rPr>
              <w:t xml:space="preserve"> </w:t>
            </w:r>
            <w:r w:rsidRPr="009E28CE">
              <w:rPr>
                <w:sz w:val="23"/>
                <w:szCs w:val="23"/>
                <w:u w:val="single"/>
                <w:lang w:val="en-US"/>
              </w:rPr>
              <w:t xml:space="preserve"> Human</w:t>
            </w:r>
            <w:proofErr w:type="gramEnd"/>
            <w:r w:rsidRPr="009E28CE">
              <w:rPr>
                <w:sz w:val="23"/>
                <w:szCs w:val="23"/>
                <w:u w:val="single"/>
                <w:lang w:val="en-US"/>
              </w:rPr>
              <w:t xml:space="preserve"> Rights  under the JK KR</w:t>
            </w:r>
            <w:r w:rsidRPr="009E28CE">
              <w:rPr>
                <w:sz w:val="23"/>
                <w:szCs w:val="23"/>
                <w:lang w:val="en-US"/>
              </w:rPr>
              <w:t xml:space="preserve"> </w:t>
            </w:r>
            <w:r w:rsidR="00DA0E3C" w:rsidRPr="009E28CE">
              <w:rPr>
                <w:sz w:val="23"/>
                <w:szCs w:val="23"/>
                <w:lang w:val="en-US"/>
              </w:rPr>
              <w:t>–</w:t>
            </w:r>
            <w:r w:rsidRPr="009E28CE">
              <w:rPr>
                <w:sz w:val="23"/>
                <w:szCs w:val="23"/>
                <w:lang w:val="en-US"/>
              </w:rPr>
              <w:t xml:space="preserve"> quarterly</w:t>
            </w:r>
            <w:r w:rsidR="00DA0E3C" w:rsidRPr="009E28CE">
              <w:rPr>
                <w:sz w:val="23"/>
                <w:szCs w:val="23"/>
                <w:lang w:val="en-US"/>
              </w:rPr>
              <w:t>;</w:t>
            </w:r>
            <w:r w:rsidRPr="009E28CE">
              <w:rPr>
                <w:sz w:val="23"/>
                <w:szCs w:val="23"/>
                <w:lang w:val="en-US"/>
              </w:rPr>
              <w:t xml:space="preserve"> </w:t>
            </w:r>
            <w:r w:rsidRPr="009E28CE">
              <w:rPr>
                <w:sz w:val="23"/>
                <w:szCs w:val="23"/>
                <w:u w:val="single"/>
                <w:lang w:val="en-US"/>
              </w:rPr>
              <w:t>Coordination Council</w:t>
            </w:r>
            <w:r w:rsidRPr="009E28CE">
              <w:rPr>
                <w:sz w:val="23"/>
                <w:szCs w:val="23"/>
                <w:lang w:val="en-US"/>
              </w:rPr>
              <w:t xml:space="preserve"> (considers including the quality of investigation). Composition: In the approved struc</w:t>
            </w:r>
            <w:r w:rsidR="00DA0E3C" w:rsidRPr="009E28CE">
              <w:rPr>
                <w:sz w:val="23"/>
                <w:szCs w:val="23"/>
                <w:lang w:val="en-US"/>
              </w:rPr>
              <w:t>ture NPM (director), Ombudsma</w:t>
            </w:r>
            <w:r w:rsidRPr="009E28CE">
              <w:rPr>
                <w:sz w:val="23"/>
                <w:szCs w:val="23"/>
                <w:lang w:val="en-US"/>
              </w:rPr>
              <w:t>n,</w:t>
            </w:r>
            <w:r w:rsidR="00DA0E3C" w:rsidRPr="009E28CE">
              <w:rPr>
                <w:sz w:val="23"/>
                <w:szCs w:val="23"/>
                <w:lang w:val="en-US"/>
              </w:rPr>
              <w:t xml:space="preserve"> </w:t>
            </w:r>
            <w:r w:rsidRPr="009E28CE">
              <w:rPr>
                <w:sz w:val="23"/>
                <w:szCs w:val="23"/>
                <w:lang w:val="en-US"/>
              </w:rPr>
              <w:t>(NGO+ observers) – regularly</w:t>
            </w:r>
            <w:r w:rsidR="00DA0E3C" w:rsidRPr="009E28CE">
              <w:rPr>
                <w:sz w:val="23"/>
                <w:szCs w:val="23"/>
                <w:lang w:val="en-US"/>
              </w:rPr>
              <w:t>;</w:t>
            </w:r>
            <w:r w:rsidRPr="009E28CE">
              <w:rPr>
                <w:sz w:val="23"/>
                <w:szCs w:val="23"/>
                <w:lang w:val="en-US"/>
              </w:rPr>
              <w:t xml:space="preserve"> creation of a separate page on the web-site of </w:t>
            </w:r>
            <w:r w:rsidRPr="009E28CE">
              <w:rPr>
                <w:sz w:val="23"/>
                <w:szCs w:val="23"/>
                <w:u w:val="single"/>
                <w:lang w:val="en-US"/>
              </w:rPr>
              <w:t>General Prosecutor’s Office</w:t>
            </w:r>
            <w:r w:rsidR="00B6576E" w:rsidRPr="009E28CE">
              <w:rPr>
                <w:sz w:val="23"/>
                <w:szCs w:val="23"/>
                <w:u w:val="single"/>
                <w:lang w:val="en-US"/>
              </w:rPr>
              <w:t xml:space="preserve">; </w:t>
            </w:r>
            <w:r w:rsidR="00B6576E" w:rsidRPr="009E28CE">
              <w:rPr>
                <w:sz w:val="23"/>
                <w:szCs w:val="23"/>
                <w:lang w:val="en-US"/>
              </w:rPr>
              <w:t>regular communication on media to inform citizens on the work of this mechanism.</w:t>
            </w:r>
          </w:p>
          <w:p w:rsidR="00067C20" w:rsidRPr="009E28CE" w:rsidRDefault="00B6576E" w:rsidP="009E28CE">
            <w:pPr>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9E28CE">
              <w:rPr>
                <w:sz w:val="23"/>
                <w:szCs w:val="23"/>
                <w:lang w:val="en-US"/>
              </w:rPr>
              <w:t xml:space="preserve"> </w:t>
            </w:r>
            <w:r w:rsidR="00067C20" w:rsidRPr="009E28CE">
              <w:rPr>
                <w:sz w:val="23"/>
                <w:szCs w:val="23"/>
                <w:lang w:val="en-US"/>
              </w:rPr>
              <w:t xml:space="preserve"> </w:t>
            </w:r>
          </w:p>
        </w:tc>
      </w:tr>
    </w:tbl>
    <w:p w:rsidR="00031DE0" w:rsidRDefault="009E28CE" w:rsidP="009E28CE">
      <w:pPr>
        <w:rPr>
          <w:lang w:val="en-US"/>
        </w:rPr>
      </w:pPr>
      <w:r>
        <w:rPr>
          <w:lang w:val="en-US"/>
        </w:rPr>
        <w:br w:type="textWrapping" w:clear="all"/>
      </w:r>
    </w:p>
    <w:sectPr w:rsidR="00031DE0" w:rsidSect="007B2224">
      <w:headerReference w:type="default" r:id="rId9"/>
      <w:footerReference w:type="default" r:id="rId10"/>
      <w:pgSz w:w="11906" w:h="16838"/>
      <w:pgMar w:top="822" w:right="84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26" w:rsidRDefault="00EE1B26" w:rsidP="00FF59E8">
      <w:r>
        <w:separator/>
      </w:r>
    </w:p>
  </w:endnote>
  <w:endnote w:type="continuationSeparator" w:id="0">
    <w:p w:rsidR="00EE1B26" w:rsidRDefault="00EE1B26" w:rsidP="00FF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21" w:rsidRDefault="008A2921">
    <w:pPr>
      <w:pStyle w:val="Footer"/>
      <w:jc w:val="center"/>
    </w:pPr>
  </w:p>
  <w:p w:rsidR="009E28CE" w:rsidRPr="009E28CE" w:rsidRDefault="009E28CE" w:rsidP="009E28CE">
    <w:pPr>
      <w:ind w:left="1440"/>
      <w:jc w:val="both"/>
      <w:rPr>
        <w:i/>
        <w:sz w:val="20"/>
        <w:szCs w:val="20"/>
      </w:rPr>
    </w:pPr>
    <w:r w:rsidRPr="009E28CE">
      <w:rPr>
        <w:noProof/>
        <w:sz w:val="20"/>
        <w:szCs w:val="20"/>
      </w:rPr>
      <w:drawing>
        <wp:anchor distT="0" distB="0" distL="114300" distR="114300" simplePos="0" relativeHeight="251659264" behindDoc="1" locked="0" layoutInCell="1" allowOverlap="1" wp14:anchorId="65DCB638" wp14:editId="5F4771E9">
          <wp:simplePos x="0" y="0"/>
          <wp:positionH relativeFrom="column">
            <wp:posOffset>-130175</wp:posOffset>
          </wp:positionH>
          <wp:positionV relativeFrom="paragraph">
            <wp:posOffset>19050</wp:posOffset>
          </wp:positionV>
          <wp:extent cx="752475" cy="514350"/>
          <wp:effectExtent l="0" t="0" r="9525" b="0"/>
          <wp:wrapTight wrapText="bothSides">
            <wp:wrapPolygon edited="0">
              <wp:start x="0" y="0"/>
              <wp:lineTo x="0" y="20800"/>
              <wp:lineTo x="21327" y="20800"/>
              <wp:lineTo x="21327" y="0"/>
              <wp:lineTo x="0" y="0"/>
            </wp:wrapPolygon>
          </wp:wrapTight>
          <wp:docPr id="2" name="Grafik 8"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europa.eu/about-eu/basic-information/symbols/images/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8CE">
      <w:rPr>
        <w:i/>
        <w:sz w:val="20"/>
        <w:szCs w:val="20"/>
      </w:rPr>
      <w:t>This document has been produced with the financial assistance of the European Union. The contents of this document are the sole responsibility of TSPC and the Ludwig Boltzman Institute for Human Rights can under no circumstances be regarded as reflecting the position of the European Union.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26" w:rsidRDefault="00EE1B26" w:rsidP="00FF59E8">
      <w:r>
        <w:separator/>
      </w:r>
    </w:p>
  </w:footnote>
  <w:footnote w:type="continuationSeparator" w:id="0">
    <w:p w:rsidR="00EE1B26" w:rsidRDefault="00EE1B26" w:rsidP="00FF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C5" w:rsidRDefault="000F345B" w:rsidP="007B2224">
    <w:pPr>
      <w:pStyle w:val="Header"/>
      <w:rPr>
        <w:rFonts w:ascii="Arial" w:hAnsi="Arial" w:cs="Arial"/>
        <w:b/>
        <w:iCs/>
        <w:noProof/>
        <w:lang w:val="en-US"/>
      </w:rPr>
    </w:pPr>
    <w:r w:rsidRPr="00520B54">
      <w:rPr>
        <w:rFonts w:ascii="Arial" w:hAnsi="Arial" w:cs="Arial"/>
        <w:b/>
        <w:iCs/>
        <w:noProof/>
      </w:rPr>
      <w:drawing>
        <wp:inline distT="0" distB="0" distL="0" distR="0" wp14:anchorId="6486AA1A" wp14:editId="1D389F1C">
          <wp:extent cx="1352550" cy="360448"/>
          <wp:effectExtent l="0" t="0" r="0" b="190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923" cy="371474"/>
                  </a:xfrm>
                  <a:prstGeom prst="rect">
                    <a:avLst/>
                  </a:prstGeom>
                  <a:noFill/>
                </pic:spPr>
              </pic:pic>
            </a:graphicData>
          </a:graphic>
        </wp:inline>
      </w:drawing>
    </w:r>
    <w:r>
      <w:rPr>
        <w:rFonts w:ascii="Arial" w:hAnsi="Arial" w:cs="Arial"/>
        <w:b/>
        <w:iCs/>
        <w:noProof/>
        <w:lang w:val="en-US"/>
      </w:rPr>
      <w:t xml:space="preserve">                                                                    </w:t>
    </w:r>
    <w:r w:rsidR="009E28CE">
      <w:rPr>
        <w:rFonts w:ascii="Arial" w:hAnsi="Arial" w:cs="Arial"/>
        <w:b/>
        <w:iCs/>
        <w:noProof/>
        <w:lang w:val="en-US"/>
      </w:rPr>
      <w:t xml:space="preserve">    </w:t>
    </w:r>
    <w:r>
      <w:rPr>
        <w:rFonts w:ascii="Arial" w:hAnsi="Arial" w:cs="Arial"/>
        <w:b/>
        <w:iCs/>
        <w:noProof/>
        <w:lang w:val="en-US"/>
      </w:rPr>
      <w:t xml:space="preserve">   </w:t>
    </w:r>
    <w:r w:rsidRPr="00520B54">
      <w:rPr>
        <w:rFonts w:ascii="Arial" w:hAnsi="Arial" w:cs="Arial"/>
        <w:b/>
        <w:iCs/>
        <w:noProof/>
      </w:rPr>
      <w:drawing>
        <wp:inline distT="0" distB="0" distL="0" distR="0" wp14:anchorId="2577EEDF" wp14:editId="0513B28A">
          <wp:extent cx="1371599" cy="361950"/>
          <wp:effectExtent l="0" t="0" r="635" b="0"/>
          <wp:docPr id="4" name="Bild 2"/>
          <wp:cNvGraphicFramePr/>
          <a:graphic xmlns:a="http://schemas.openxmlformats.org/drawingml/2006/main">
            <a:graphicData uri="http://schemas.openxmlformats.org/drawingml/2006/picture">
              <pic:pic xmlns:pic="http://schemas.openxmlformats.org/drawingml/2006/picture">
                <pic:nvPicPr>
                  <pic:cNvPr id="3" name="Bild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6319" cy="37639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8217C5" w:rsidTr="008217C5">
      <w:tc>
        <w:tcPr>
          <w:tcW w:w="2463" w:type="dxa"/>
        </w:tcPr>
        <w:p w:rsidR="008217C5" w:rsidRDefault="008217C5" w:rsidP="00551CBC">
          <w:pPr>
            <w:pStyle w:val="Header"/>
            <w:rPr>
              <w:rFonts w:ascii="Arial" w:hAnsi="Arial" w:cs="Arial"/>
              <w:b/>
              <w:iCs/>
              <w:noProof/>
            </w:rPr>
          </w:pPr>
        </w:p>
      </w:tc>
      <w:tc>
        <w:tcPr>
          <w:tcW w:w="2464" w:type="dxa"/>
        </w:tcPr>
        <w:p w:rsidR="008217C5" w:rsidRDefault="008217C5" w:rsidP="00551CBC">
          <w:pPr>
            <w:pStyle w:val="Header"/>
            <w:rPr>
              <w:rFonts w:ascii="Arial" w:hAnsi="Arial" w:cs="Arial"/>
              <w:b/>
              <w:iCs/>
              <w:noProof/>
            </w:rPr>
          </w:pPr>
        </w:p>
      </w:tc>
      <w:tc>
        <w:tcPr>
          <w:tcW w:w="2464" w:type="dxa"/>
        </w:tcPr>
        <w:p w:rsidR="008217C5" w:rsidRDefault="008217C5" w:rsidP="00551CBC">
          <w:pPr>
            <w:pStyle w:val="Header"/>
            <w:rPr>
              <w:rFonts w:ascii="Arial" w:hAnsi="Arial" w:cs="Arial"/>
              <w:b/>
              <w:iCs/>
              <w:noProof/>
            </w:rPr>
          </w:pPr>
        </w:p>
      </w:tc>
      <w:tc>
        <w:tcPr>
          <w:tcW w:w="2464" w:type="dxa"/>
        </w:tcPr>
        <w:p w:rsidR="008217C5" w:rsidRDefault="008217C5" w:rsidP="00551CBC">
          <w:pPr>
            <w:pStyle w:val="Header"/>
            <w:rPr>
              <w:rFonts w:ascii="Arial" w:hAnsi="Arial" w:cs="Arial"/>
              <w:b/>
              <w:iCs/>
              <w:noProof/>
            </w:rPr>
          </w:pPr>
        </w:p>
      </w:tc>
    </w:tr>
  </w:tbl>
  <w:p w:rsidR="00C1733A" w:rsidRPr="007B2224" w:rsidRDefault="00C1733A" w:rsidP="007B2224">
    <w:pPr>
      <w:pStyle w:val="Header"/>
      <w:rPr>
        <w:rFonts w:ascii="Arial" w:hAnsi="Arial" w:cs="Arial"/>
        <w:b/>
        <w:iCs/>
        <w:noProof/>
        <w:lang w:val="en-US"/>
      </w:rPr>
    </w:pPr>
    <w:r>
      <w:rPr>
        <w:rFonts w:ascii="Arial" w:hAnsi="Arial" w:cs="Arial"/>
        <w:b/>
        <w:iCs/>
        <w:noProof/>
        <w:lang w:val="en-US"/>
      </w:rPr>
      <w:t xml:space="preserve">             </w:t>
    </w:r>
    <w:r w:rsidR="001A76E9">
      <w:rPr>
        <w:rFonts w:ascii="Arial" w:hAnsi="Arial" w:cs="Arial"/>
        <w:b/>
        <w:iCs/>
        <w:noProof/>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473C"/>
    <w:multiLevelType w:val="hybridMultilevel"/>
    <w:tmpl w:val="F9388214"/>
    <w:lvl w:ilvl="0" w:tplc="E5AEEE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27374"/>
    <w:multiLevelType w:val="hybridMultilevel"/>
    <w:tmpl w:val="066A76A8"/>
    <w:lvl w:ilvl="0" w:tplc="8FD42574">
      <w:start w:val="1"/>
      <w:numFmt w:val="bullet"/>
      <w:lvlText w:val="•"/>
      <w:lvlJc w:val="left"/>
      <w:pPr>
        <w:tabs>
          <w:tab w:val="num" w:pos="720"/>
        </w:tabs>
        <w:ind w:left="720" w:hanging="360"/>
      </w:pPr>
      <w:rPr>
        <w:rFonts w:ascii="Arial" w:hAnsi="Arial" w:hint="default"/>
      </w:rPr>
    </w:lvl>
    <w:lvl w:ilvl="1" w:tplc="4CE8E264" w:tentative="1">
      <w:start w:val="1"/>
      <w:numFmt w:val="bullet"/>
      <w:lvlText w:val="•"/>
      <w:lvlJc w:val="left"/>
      <w:pPr>
        <w:tabs>
          <w:tab w:val="num" w:pos="1440"/>
        </w:tabs>
        <w:ind w:left="1440" w:hanging="360"/>
      </w:pPr>
      <w:rPr>
        <w:rFonts w:ascii="Arial" w:hAnsi="Arial" w:hint="default"/>
      </w:rPr>
    </w:lvl>
    <w:lvl w:ilvl="2" w:tplc="B0BCA0E0" w:tentative="1">
      <w:start w:val="1"/>
      <w:numFmt w:val="bullet"/>
      <w:lvlText w:val="•"/>
      <w:lvlJc w:val="left"/>
      <w:pPr>
        <w:tabs>
          <w:tab w:val="num" w:pos="2160"/>
        </w:tabs>
        <w:ind w:left="2160" w:hanging="360"/>
      </w:pPr>
      <w:rPr>
        <w:rFonts w:ascii="Arial" w:hAnsi="Arial" w:hint="default"/>
      </w:rPr>
    </w:lvl>
    <w:lvl w:ilvl="3" w:tplc="246002E4" w:tentative="1">
      <w:start w:val="1"/>
      <w:numFmt w:val="bullet"/>
      <w:lvlText w:val="•"/>
      <w:lvlJc w:val="left"/>
      <w:pPr>
        <w:tabs>
          <w:tab w:val="num" w:pos="2880"/>
        </w:tabs>
        <w:ind w:left="2880" w:hanging="360"/>
      </w:pPr>
      <w:rPr>
        <w:rFonts w:ascii="Arial" w:hAnsi="Arial" w:hint="default"/>
      </w:rPr>
    </w:lvl>
    <w:lvl w:ilvl="4" w:tplc="4E7435D6" w:tentative="1">
      <w:start w:val="1"/>
      <w:numFmt w:val="bullet"/>
      <w:lvlText w:val="•"/>
      <w:lvlJc w:val="left"/>
      <w:pPr>
        <w:tabs>
          <w:tab w:val="num" w:pos="3600"/>
        </w:tabs>
        <w:ind w:left="3600" w:hanging="360"/>
      </w:pPr>
      <w:rPr>
        <w:rFonts w:ascii="Arial" w:hAnsi="Arial" w:hint="default"/>
      </w:rPr>
    </w:lvl>
    <w:lvl w:ilvl="5" w:tplc="D0D03FBC" w:tentative="1">
      <w:start w:val="1"/>
      <w:numFmt w:val="bullet"/>
      <w:lvlText w:val="•"/>
      <w:lvlJc w:val="left"/>
      <w:pPr>
        <w:tabs>
          <w:tab w:val="num" w:pos="4320"/>
        </w:tabs>
        <w:ind w:left="4320" w:hanging="360"/>
      </w:pPr>
      <w:rPr>
        <w:rFonts w:ascii="Arial" w:hAnsi="Arial" w:hint="default"/>
      </w:rPr>
    </w:lvl>
    <w:lvl w:ilvl="6" w:tplc="8C60BE70" w:tentative="1">
      <w:start w:val="1"/>
      <w:numFmt w:val="bullet"/>
      <w:lvlText w:val="•"/>
      <w:lvlJc w:val="left"/>
      <w:pPr>
        <w:tabs>
          <w:tab w:val="num" w:pos="5040"/>
        </w:tabs>
        <w:ind w:left="5040" w:hanging="360"/>
      </w:pPr>
      <w:rPr>
        <w:rFonts w:ascii="Arial" w:hAnsi="Arial" w:hint="default"/>
      </w:rPr>
    </w:lvl>
    <w:lvl w:ilvl="7" w:tplc="4B3252C6" w:tentative="1">
      <w:start w:val="1"/>
      <w:numFmt w:val="bullet"/>
      <w:lvlText w:val="•"/>
      <w:lvlJc w:val="left"/>
      <w:pPr>
        <w:tabs>
          <w:tab w:val="num" w:pos="5760"/>
        </w:tabs>
        <w:ind w:left="5760" w:hanging="360"/>
      </w:pPr>
      <w:rPr>
        <w:rFonts w:ascii="Arial" w:hAnsi="Arial" w:hint="default"/>
      </w:rPr>
    </w:lvl>
    <w:lvl w:ilvl="8" w:tplc="05C00A5C" w:tentative="1">
      <w:start w:val="1"/>
      <w:numFmt w:val="bullet"/>
      <w:lvlText w:val="•"/>
      <w:lvlJc w:val="left"/>
      <w:pPr>
        <w:tabs>
          <w:tab w:val="num" w:pos="6480"/>
        </w:tabs>
        <w:ind w:left="6480" w:hanging="360"/>
      </w:pPr>
      <w:rPr>
        <w:rFonts w:ascii="Arial" w:hAnsi="Arial" w:hint="default"/>
      </w:rPr>
    </w:lvl>
  </w:abstractNum>
  <w:abstractNum w:abstractNumId="2">
    <w:nsid w:val="43DD362F"/>
    <w:multiLevelType w:val="hybridMultilevel"/>
    <w:tmpl w:val="CCBE5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A74CF1"/>
    <w:multiLevelType w:val="hybridMultilevel"/>
    <w:tmpl w:val="421452F6"/>
    <w:lvl w:ilvl="0" w:tplc="05562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A53807"/>
    <w:multiLevelType w:val="hybridMultilevel"/>
    <w:tmpl w:val="4C920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31"/>
    <w:rsid w:val="0000549E"/>
    <w:rsid w:val="000270B6"/>
    <w:rsid w:val="00031DE0"/>
    <w:rsid w:val="0003653C"/>
    <w:rsid w:val="00047D12"/>
    <w:rsid w:val="000506D6"/>
    <w:rsid w:val="00065E2C"/>
    <w:rsid w:val="00067C20"/>
    <w:rsid w:val="00074301"/>
    <w:rsid w:val="000C4F00"/>
    <w:rsid w:val="000F1D56"/>
    <w:rsid w:val="000F345B"/>
    <w:rsid w:val="001261F1"/>
    <w:rsid w:val="00126FE9"/>
    <w:rsid w:val="001343BC"/>
    <w:rsid w:val="00183DB6"/>
    <w:rsid w:val="00191DDB"/>
    <w:rsid w:val="00196444"/>
    <w:rsid w:val="001A024F"/>
    <w:rsid w:val="001A76E9"/>
    <w:rsid w:val="002147BE"/>
    <w:rsid w:val="002412AD"/>
    <w:rsid w:val="00247C08"/>
    <w:rsid w:val="002706F0"/>
    <w:rsid w:val="0028385B"/>
    <w:rsid w:val="00316986"/>
    <w:rsid w:val="003247A8"/>
    <w:rsid w:val="00335D66"/>
    <w:rsid w:val="00341E41"/>
    <w:rsid w:val="00343AB0"/>
    <w:rsid w:val="003469FF"/>
    <w:rsid w:val="00351E78"/>
    <w:rsid w:val="003B0E56"/>
    <w:rsid w:val="003D0E69"/>
    <w:rsid w:val="003D29C2"/>
    <w:rsid w:val="003D3B8D"/>
    <w:rsid w:val="003D4F40"/>
    <w:rsid w:val="00404D33"/>
    <w:rsid w:val="004237C1"/>
    <w:rsid w:val="00431A61"/>
    <w:rsid w:val="004C0E88"/>
    <w:rsid w:val="004F62F4"/>
    <w:rsid w:val="00515B7B"/>
    <w:rsid w:val="0053603D"/>
    <w:rsid w:val="00562723"/>
    <w:rsid w:val="00596106"/>
    <w:rsid w:val="005A1CB5"/>
    <w:rsid w:val="005C392D"/>
    <w:rsid w:val="005C4AE1"/>
    <w:rsid w:val="005C5BBD"/>
    <w:rsid w:val="005E3FC4"/>
    <w:rsid w:val="005E7B62"/>
    <w:rsid w:val="005F7E16"/>
    <w:rsid w:val="00660D84"/>
    <w:rsid w:val="006726EA"/>
    <w:rsid w:val="006A4480"/>
    <w:rsid w:val="006A6619"/>
    <w:rsid w:val="006B7822"/>
    <w:rsid w:val="006D316E"/>
    <w:rsid w:val="006E6FC8"/>
    <w:rsid w:val="0071451C"/>
    <w:rsid w:val="00720C95"/>
    <w:rsid w:val="00724E3E"/>
    <w:rsid w:val="007427CC"/>
    <w:rsid w:val="00786B4E"/>
    <w:rsid w:val="00790974"/>
    <w:rsid w:val="007933CC"/>
    <w:rsid w:val="007B2224"/>
    <w:rsid w:val="007B7076"/>
    <w:rsid w:val="0080085E"/>
    <w:rsid w:val="008206B6"/>
    <w:rsid w:val="00820DAC"/>
    <w:rsid w:val="008217C5"/>
    <w:rsid w:val="00844048"/>
    <w:rsid w:val="0085459A"/>
    <w:rsid w:val="00864537"/>
    <w:rsid w:val="008833C6"/>
    <w:rsid w:val="008A2921"/>
    <w:rsid w:val="008A3089"/>
    <w:rsid w:val="008A6EEC"/>
    <w:rsid w:val="008C3C1B"/>
    <w:rsid w:val="008D48F4"/>
    <w:rsid w:val="0092388F"/>
    <w:rsid w:val="00946F53"/>
    <w:rsid w:val="009579F9"/>
    <w:rsid w:val="009707D0"/>
    <w:rsid w:val="00971D31"/>
    <w:rsid w:val="00977E5D"/>
    <w:rsid w:val="009802A8"/>
    <w:rsid w:val="00987025"/>
    <w:rsid w:val="0099082B"/>
    <w:rsid w:val="009B5FAD"/>
    <w:rsid w:val="009C6769"/>
    <w:rsid w:val="009E28CE"/>
    <w:rsid w:val="009E6D62"/>
    <w:rsid w:val="00A02193"/>
    <w:rsid w:val="00A045ED"/>
    <w:rsid w:val="00A11681"/>
    <w:rsid w:val="00A40D68"/>
    <w:rsid w:val="00A80190"/>
    <w:rsid w:val="00A834F7"/>
    <w:rsid w:val="00A83ACD"/>
    <w:rsid w:val="00A939E4"/>
    <w:rsid w:val="00AE7B23"/>
    <w:rsid w:val="00B30E78"/>
    <w:rsid w:val="00B6576E"/>
    <w:rsid w:val="00B67596"/>
    <w:rsid w:val="00BA1F35"/>
    <w:rsid w:val="00BD23DA"/>
    <w:rsid w:val="00BD6B10"/>
    <w:rsid w:val="00BD73FB"/>
    <w:rsid w:val="00BE1076"/>
    <w:rsid w:val="00C1733A"/>
    <w:rsid w:val="00C50937"/>
    <w:rsid w:val="00C572E9"/>
    <w:rsid w:val="00C71D45"/>
    <w:rsid w:val="00C730E3"/>
    <w:rsid w:val="00C9415B"/>
    <w:rsid w:val="00CB05B6"/>
    <w:rsid w:val="00CE683A"/>
    <w:rsid w:val="00D01CCA"/>
    <w:rsid w:val="00D046A7"/>
    <w:rsid w:val="00D169BE"/>
    <w:rsid w:val="00D22D72"/>
    <w:rsid w:val="00D26156"/>
    <w:rsid w:val="00D3086C"/>
    <w:rsid w:val="00D44195"/>
    <w:rsid w:val="00D45977"/>
    <w:rsid w:val="00D4662A"/>
    <w:rsid w:val="00D72FC2"/>
    <w:rsid w:val="00D736CA"/>
    <w:rsid w:val="00D968CF"/>
    <w:rsid w:val="00D97389"/>
    <w:rsid w:val="00DA0E3C"/>
    <w:rsid w:val="00DA3CB3"/>
    <w:rsid w:val="00DD17D1"/>
    <w:rsid w:val="00E03FA6"/>
    <w:rsid w:val="00E05CF8"/>
    <w:rsid w:val="00E35535"/>
    <w:rsid w:val="00E41E4E"/>
    <w:rsid w:val="00E9093F"/>
    <w:rsid w:val="00EB3E28"/>
    <w:rsid w:val="00EB4C9F"/>
    <w:rsid w:val="00EE0CC6"/>
    <w:rsid w:val="00EE1B26"/>
    <w:rsid w:val="00EF0066"/>
    <w:rsid w:val="00F21E53"/>
    <w:rsid w:val="00F55DD8"/>
    <w:rsid w:val="00FB4279"/>
    <w:rsid w:val="00FE7405"/>
    <w:rsid w:val="00FF1C03"/>
    <w:rsid w:val="00FF291C"/>
    <w:rsid w:val="00FF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195"/>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D33"/>
    <w:pPr>
      <w:ind w:left="720"/>
      <w:contextualSpacing/>
    </w:pPr>
  </w:style>
  <w:style w:type="paragraph" w:styleId="Header">
    <w:name w:val="header"/>
    <w:basedOn w:val="Normal"/>
    <w:link w:val="HeaderChar"/>
    <w:uiPriority w:val="99"/>
    <w:rsid w:val="00FF59E8"/>
    <w:pPr>
      <w:tabs>
        <w:tab w:val="center" w:pos="4677"/>
        <w:tab w:val="right" w:pos="9355"/>
      </w:tabs>
    </w:pPr>
  </w:style>
  <w:style w:type="character" w:customStyle="1" w:styleId="HeaderChar">
    <w:name w:val="Header Char"/>
    <w:basedOn w:val="DefaultParagraphFont"/>
    <w:link w:val="Header"/>
    <w:uiPriority w:val="99"/>
    <w:rsid w:val="00FF59E8"/>
    <w:rPr>
      <w:sz w:val="24"/>
      <w:szCs w:val="24"/>
    </w:rPr>
  </w:style>
  <w:style w:type="paragraph" w:styleId="Footer">
    <w:name w:val="footer"/>
    <w:basedOn w:val="Normal"/>
    <w:link w:val="FooterChar"/>
    <w:uiPriority w:val="99"/>
    <w:rsid w:val="00FF59E8"/>
    <w:pPr>
      <w:tabs>
        <w:tab w:val="center" w:pos="4677"/>
        <w:tab w:val="right" w:pos="9355"/>
      </w:tabs>
    </w:pPr>
  </w:style>
  <w:style w:type="character" w:customStyle="1" w:styleId="FooterChar">
    <w:name w:val="Footer Char"/>
    <w:basedOn w:val="DefaultParagraphFont"/>
    <w:link w:val="Footer"/>
    <w:uiPriority w:val="99"/>
    <w:rsid w:val="00FF59E8"/>
    <w:rPr>
      <w:sz w:val="24"/>
      <w:szCs w:val="24"/>
    </w:rPr>
  </w:style>
  <w:style w:type="paragraph" w:styleId="BalloonText">
    <w:name w:val="Balloon Text"/>
    <w:basedOn w:val="Normal"/>
    <w:link w:val="BalloonTextChar"/>
    <w:rsid w:val="00FF59E8"/>
    <w:rPr>
      <w:rFonts w:ascii="Tahoma" w:hAnsi="Tahoma" w:cs="Tahoma"/>
      <w:sz w:val="16"/>
      <w:szCs w:val="16"/>
    </w:rPr>
  </w:style>
  <w:style w:type="character" w:customStyle="1" w:styleId="BalloonTextChar">
    <w:name w:val="Balloon Text Char"/>
    <w:basedOn w:val="DefaultParagraphFont"/>
    <w:link w:val="BalloonText"/>
    <w:rsid w:val="00FF59E8"/>
    <w:rPr>
      <w:rFonts w:ascii="Tahoma" w:hAnsi="Tahoma" w:cs="Tahoma"/>
      <w:sz w:val="16"/>
      <w:szCs w:val="16"/>
    </w:rPr>
  </w:style>
  <w:style w:type="paragraph" w:styleId="FootnoteText">
    <w:name w:val="footnote text"/>
    <w:basedOn w:val="Normal"/>
    <w:link w:val="FootnoteTextChar"/>
    <w:rsid w:val="00196444"/>
    <w:rPr>
      <w:sz w:val="20"/>
      <w:szCs w:val="20"/>
    </w:rPr>
  </w:style>
  <w:style w:type="character" w:customStyle="1" w:styleId="FootnoteTextChar">
    <w:name w:val="Footnote Text Char"/>
    <w:basedOn w:val="DefaultParagraphFont"/>
    <w:link w:val="FootnoteText"/>
    <w:rsid w:val="00196444"/>
  </w:style>
  <w:style w:type="character" w:styleId="FootnoteReference">
    <w:name w:val="footnote reference"/>
    <w:basedOn w:val="DefaultParagraphFont"/>
    <w:rsid w:val="00196444"/>
    <w:rPr>
      <w:vertAlign w:val="superscript"/>
    </w:rPr>
  </w:style>
  <w:style w:type="character" w:styleId="Hyperlink">
    <w:name w:val="Hyperlink"/>
    <w:basedOn w:val="DefaultParagraphFont"/>
    <w:rsid w:val="00196444"/>
    <w:rPr>
      <w:color w:val="0000FF" w:themeColor="hyperlink"/>
      <w:u w:val="single"/>
    </w:rPr>
  </w:style>
  <w:style w:type="table" w:styleId="LightList-Accent1">
    <w:name w:val="Light List Accent 1"/>
    <w:basedOn w:val="TableNormal"/>
    <w:uiPriority w:val="61"/>
    <w:rsid w:val="00067C20"/>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195"/>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D33"/>
    <w:pPr>
      <w:ind w:left="720"/>
      <w:contextualSpacing/>
    </w:pPr>
  </w:style>
  <w:style w:type="paragraph" w:styleId="Header">
    <w:name w:val="header"/>
    <w:basedOn w:val="Normal"/>
    <w:link w:val="HeaderChar"/>
    <w:uiPriority w:val="99"/>
    <w:rsid w:val="00FF59E8"/>
    <w:pPr>
      <w:tabs>
        <w:tab w:val="center" w:pos="4677"/>
        <w:tab w:val="right" w:pos="9355"/>
      </w:tabs>
    </w:pPr>
  </w:style>
  <w:style w:type="character" w:customStyle="1" w:styleId="HeaderChar">
    <w:name w:val="Header Char"/>
    <w:basedOn w:val="DefaultParagraphFont"/>
    <w:link w:val="Header"/>
    <w:uiPriority w:val="99"/>
    <w:rsid w:val="00FF59E8"/>
    <w:rPr>
      <w:sz w:val="24"/>
      <w:szCs w:val="24"/>
    </w:rPr>
  </w:style>
  <w:style w:type="paragraph" w:styleId="Footer">
    <w:name w:val="footer"/>
    <w:basedOn w:val="Normal"/>
    <w:link w:val="FooterChar"/>
    <w:uiPriority w:val="99"/>
    <w:rsid w:val="00FF59E8"/>
    <w:pPr>
      <w:tabs>
        <w:tab w:val="center" w:pos="4677"/>
        <w:tab w:val="right" w:pos="9355"/>
      </w:tabs>
    </w:pPr>
  </w:style>
  <w:style w:type="character" w:customStyle="1" w:styleId="FooterChar">
    <w:name w:val="Footer Char"/>
    <w:basedOn w:val="DefaultParagraphFont"/>
    <w:link w:val="Footer"/>
    <w:uiPriority w:val="99"/>
    <w:rsid w:val="00FF59E8"/>
    <w:rPr>
      <w:sz w:val="24"/>
      <w:szCs w:val="24"/>
    </w:rPr>
  </w:style>
  <w:style w:type="paragraph" w:styleId="BalloonText">
    <w:name w:val="Balloon Text"/>
    <w:basedOn w:val="Normal"/>
    <w:link w:val="BalloonTextChar"/>
    <w:rsid w:val="00FF59E8"/>
    <w:rPr>
      <w:rFonts w:ascii="Tahoma" w:hAnsi="Tahoma" w:cs="Tahoma"/>
      <w:sz w:val="16"/>
      <w:szCs w:val="16"/>
    </w:rPr>
  </w:style>
  <w:style w:type="character" w:customStyle="1" w:styleId="BalloonTextChar">
    <w:name w:val="Balloon Text Char"/>
    <w:basedOn w:val="DefaultParagraphFont"/>
    <w:link w:val="BalloonText"/>
    <w:rsid w:val="00FF59E8"/>
    <w:rPr>
      <w:rFonts w:ascii="Tahoma" w:hAnsi="Tahoma" w:cs="Tahoma"/>
      <w:sz w:val="16"/>
      <w:szCs w:val="16"/>
    </w:rPr>
  </w:style>
  <w:style w:type="paragraph" w:styleId="FootnoteText">
    <w:name w:val="footnote text"/>
    <w:basedOn w:val="Normal"/>
    <w:link w:val="FootnoteTextChar"/>
    <w:rsid w:val="00196444"/>
    <w:rPr>
      <w:sz w:val="20"/>
      <w:szCs w:val="20"/>
    </w:rPr>
  </w:style>
  <w:style w:type="character" w:customStyle="1" w:styleId="FootnoteTextChar">
    <w:name w:val="Footnote Text Char"/>
    <w:basedOn w:val="DefaultParagraphFont"/>
    <w:link w:val="FootnoteText"/>
    <w:rsid w:val="00196444"/>
  </w:style>
  <w:style w:type="character" w:styleId="FootnoteReference">
    <w:name w:val="footnote reference"/>
    <w:basedOn w:val="DefaultParagraphFont"/>
    <w:rsid w:val="00196444"/>
    <w:rPr>
      <w:vertAlign w:val="superscript"/>
    </w:rPr>
  </w:style>
  <w:style w:type="character" w:styleId="Hyperlink">
    <w:name w:val="Hyperlink"/>
    <w:basedOn w:val="DefaultParagraphFont"/>
    <w:rsid w:val="00196444"/>
    <w:rPr>
      <w:color w:val="0000FF" w:themeColor="hyperlink"/>
      <w:u w:val="single"/>
    </w:rPr>
  </w:style>
  <w:style w:type="table" w:styleId="LightList-Accent1">
    <w:name w:val="Light List Accent 1"/>
    <w:basedOn w:val="TableNormal"/>
    <w:uiPriority w:val="61"/>
    <w:rsid w:val="00067C20"/>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3999">
      <w:bodyDiv w:val="1"/>
      <w:marLeft w:val="0"/>
      <w:marRight w:val="0"/>
      <w:marTop w:val="0"/>
      <w:marBottom w:val="0"/>
      <w:divBdr>
        <w:top w:val="none" w:sz="0" w:space="0" w:color="auto"/>
        <w:left w:val="none" w:sz="0" w:space="0" w:color="auto"/>
        <w:bottom w:val="none" w:sz="0" w:space="0" w:color="auto"/>
        <w:right w:val="none" w:sz="0" w:space="0" w:color="auto"/>
      </w:divBdr>
      <w:divsChild>
        <w:div w:id="299379977">
          <w:marLeft w:val="547"/>
          <w:marRight w:val="0"/>
          <w:marTop w:val="154"/>
          <w:marBottom w:val="0"/>
          <w:divBdr>
            <w:top w:val="none" w:sz="0" w:space="0" w:color="auto"/>
            <w:left w:val="none" w:sz="0" w:space="0" w:color="auto"/>
            <w:bottom w:val="none" w:sz="0" w:space="0" w:color="auto"/>
            <w:right w:val="none" w:sz="0" w:space="0" w:color="auto"/>
          </w:divBdr>
        </w:div>
        <w:div w:id="1393231844">
          <w:marLeft w:val="547"/>
          <w:marRight w:val="0"/>
          <w:marTop w:val="154"/>
          <w:marBottom w:val="0"/>
          <w:divBdr>
            <w:top w:val="none" w:sz="0" w:space="0" w:color="auto"/>
            <w:left w:val="none" w:sz="0" w:space="0" w:color="auto"/>
            <w:bottom w:val="none" w:sz="0" w:space="0" w:color="auto"/>
            <w:right w:val="none" w:sz="0" w:space="0" w:color="auto"/>
          </w:divBdr>
        </w:div>
        <w:div w:id="420371346">
          <w:marLeft w:val="547"/>
          <w:marRight w:val="0"/>
          <w:marTop w:val="154"/>
          <w:marBottom w:val="0"/>
          <w:divBdr>
            <w:top w:val="none" w:sz="0" w:space="0" w:color="auto"/>
            <w:left w:val="none" w:sz="0" w:space="0" w:color="auto"/>
            <w:bottom w:val="none" w:sz="0" w:space="0" w:color="auto"/>
            <w:right w:val="none" w:sz="0" w:space="0" w:color="auto"/>
          </w:divBdr>
        </w:div>
        <w:div w:id="1655602518">
          <w:marLeft w:val="547"/>
          <w:marRight w:val="0"/>
          <w:marTop w:val="154"/>
          <w:marBottom w:val="0"/>
          <w:divBdr>
            <w:top w:val="none" w:sz="0" w:space="0" w:color="auto"/>
            <w:left w:val="none" w:sz="0" w:space="0" w:color="auto"/>
            <w:bottom w:val="none" w:sz="0" w:space="0" w:color="auto"/>
            <w:right w:val="none" w:sz="0" w:space="0" w:color="auto"/>
          </w:divBdr>
        </w:div>
        <w:div w:id="1098065306">
          <w:marLeft w:val="547"/>
          <w:marRight w:val="0"/>
          <w:marTop w:val="154"/>
          <w:marBottom w:val="0"/>
          <w:divBdr>
            <w:top w:val="none" w:sz="0" w:space="0" w:color="auto"/>
            <w:left w:val="none" w:sz="0" w:space="0" w:color="auto"/>
            <w:bottom w:val="none" w:sz="0" w:space="0" w:color="auto"/>
            <w:right w:val="none" w:sz="0" w:space="0" w:color="auto"/>
          </w:divBdr>
        </w:div>
        <w:div w:id="10945964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72DF-E834-4CCD-879B-16F86F6F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AUCA</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Karlygach Nurmanbetova</dc:creator>
  <cp:lastModifiedBy>user</cp:lastModifiedBy>
  <cp:revision>3</cp:revision>
  <cp:lastPrinted>2014-09-26T08:23:00Z</cp:lastPrinted>
  <dcterms:created xsi:type="dcterms:W3CDTF">2015-07-28T06:20:00Z</dcterms:created>
  <dcterms:modified xsi:type="dcterms:W3CDTF">2015-07-28T06:25:00Z</dcterms:modified>
</cp:coreProperties>
</file>